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674" w:rsidRPr="00F07DA5" w:rsidRDefault="00DE1674" w:rsidP="00DE1674">
      <w:pPr>
        <w:shd w:val="clear" w:color="auto" w:fill="000000" w:themeFill="text1"/>
        <w:rPr>
          <w:rFonts w:ascii="Century Gothic" w:hAnsi="Century Gothic"/>
          <w:b/>
          <w:sz w:val="36"/>
        </w:rPr>
      </w:pPr>
      <w:r>
        <w:rPr>
          <w:noProof/>
          <w:lang w:eastAsia="fr-FR"/>
        </w:rPr>
        <w:drawing>
          <wp:inline distT="0" distB="0" distL="0" distR="0" wp14:anchorId="282F0E84" wp14:editId="304C9554">
            <wp:extent cx="1514475" cy="1546471"/>
            <wp:effectExtent l="0" t="0" r="0" b="0"/>
            <wp:docPr id="4" name="Image 4" descr="\\grmuzsnasp002\Comm\Dir promo\Trophées et Remises de Prix\Equerre d'argent\EXPO\OUTILS DE COM\Bloc marque_30 ans_déf\exp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grmuzsnasp002\Comm\Dir promo\Trophées et Remises de Prix\Equerre d'argent\EXPO\OUTILS DE COM\Bloc marque_30 ans_déf\expo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7" t="5326" r="10059" b="8876"/>
                    <a:stretch/>
                  </pic:blipFill>
                  <pic:spPr bwMode="auto">
                    <a:xfrm>
                      <a:off x="0" y="0"/>
                      <a:ext cx="1514475" cy="1546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 xml:space="preserve">           </w:t>
      </w:r>
      <w:r w:rsidRPr="00F07DA5">
        <w:rPr>
          <w:rFonts w:ascii="Century Gothic" w:hAnsi="Century Gothic"/>
          <w:b/>
          <w:sz w:val="36"/>
        </w:rPr>
        <w:t>Communiqué de presse</w:t>
      </w:r>
    </w:p>
    <w:p w:rsidR="000F1357" w:rsidRDefault="000F1357" w:rsidP="00F07DA5">
      <w:pPr>
        <w:jc w:val="center"/>
        <w:rPr>
          <w:rFonts w:ascii="Century Gothic" w:hAnsi="Century Gothic"/>
          <w:b/>
          <w:sz w:val="28"/>
        </w:rPr>
      </w:pPr>
    </w:p>
    <w:p w:rsidR="00D63309" w:rsidRPr="00D63309" w:rsidRDefault="00D63309" w:rsidP="00F07DA5">
      <w:pPr>
        <w:jc w:val="center"/>
        <w:rPr>
          <w:rFonts w:ascii="Century Gothic" w:hAnsi="Century Gothic"/>
          <w:b/>
          <w:sz w:val="28"/>
        </w:rPr>
      </w:pPr>
      <w:r w:rsidRPr="00D63309">
        <w:rPr>
          <w:rFonts w:ascii="Century Gothic" w:hAnsi="Century Gothic"/>
          <w:b/>
          <w:sz w:val="28"/>
        </w:rPr>
        <w:t>Exposition : 1983-2013 : 30 ans d’Équerre d’Argent</w:t>
      </w:r>
    </w:p>
    <w:p w:rsidR="00E65862" w:rsidRDefault="00946E9C" w:rsidP="00FF435C">
      <w:pPr>
        <w:jc w:val="both"/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>Lille</w:t>
      </w:r>
      <w:r w:rsidR="00D63309" w:rsidRPr="00D63309">
        <w:rPr>
          <w:rFonts w:ascii="Century Gothic" w:hAnsi="Century Gothic"/>
          <w:b/>
          <w:u w:val="single"/>
        </w:rPr>
        <w:t xml:space="preserve">, </w:t>
      </w:r>
      <w:r>
        <w:rPr>
          <w:rFonts w:ascii="Century Gothic" w:hAnsi="Century Gothic"/>
          <w:b/>
          <w:u w:val="single"/>
        </w:rPr>
        <w:t>11 octobre</w:t>
      </w:r>
      <w:r w:rsidR="00D63309" w:rsidRPr="00D63309">
        <w:rPr>
          <w:rFonts w:ascii="Century Gothic" w:hAnsi="Century Gothic"/>
          <w:b/>
          <w:u w:val="single"/>
        </w:rPr>
        <w:t xml:space="preserve"> 2014</w:t>
      </w:r>
      <w:r w:rsidR="00D63309" w:rsidRPr="00D63309">
        <w:rPr>
          <w:rFonts w:ascii="Century Gothic" w:hAnsi="Century Gothic"/>
        </w:rPr>
        <w:t> </w:t>
      </w:r>
    </w:p>
    <w:p w:rsidR="00251154" w:rsidRPr="00251154" w:rsidRDefault="00251154" w:rsidP="00251154">
      <w:pPr>
        <w:jc w:val="both"/>
        <w:rPr>
          <w:rFonts w:ascii="Century Gothic" w:hAnsi="Century Gothic"/>
          <w:sz w:val="20"/>
        </w:rPr>
      </w:pPr>
      <w:r w:rsidRPr="00251154">
        <w:rPr>
          <w:rFonts w:ascii="Century Gothic" w:hAnsi="Century Gothic"/>
          <w:sz w:val="20"/>
        </w:rPr>
        <w:t>L’Équerre d’argent s’est imposée au fil des années comme le prix le plus prestigieux en matière d’architecture. Elle est attribuée chaque année à une œuvre, un bâtiment construit sur le territoire français. Organisée par le Groupe Moniteur depuis 1983, dotée d’un jury indépendant, l’Équerre d’argent est décernée à la fois à l’architecte et à son commanditaire.</w:t>
      </w:r>
    </w:p>
    <w:p w:rsidR="00251154" w:rsidRPr="00251154" w:rsidRDefault="00251154" w:rsidP="00251154">
      <w:pPr>
        <w:jc w:val="both"/>
        <w:rPr>
          <w:rFonts w:ascii="Century Gothic" w:hAnsi="Century Gothic"/>
          <w:sz w:val="20"/>
        </w:rPr>
      </w:pPr>
      <w:r w:rsidRPr="00251154">
        <w:rPr>
          <w:rFonts w:ascii="Century Gothic" w:hAnsi="Century Gothic"/>
          <w:sz w:val="20"/>
        </w:rPr>
        <w:t xml:space="preserve">Le Moniteur et </w:t>
      </w:r>
      <w:r>
        <w:rPr>
          <w:rFonts w:ascii="Century Gothic" w:hAnsi="Century Gothic"/>
          <w:sz w:val="20"/>
        </w:rPr>
        <w:t xml:space="preserve">AMC (avec le soutien de </w:t>
      </w:r>
      <w:proofErr w:type="spellStart"/>
      <w:r>
        <w:rPr>
          <w:rFonts w:ascii="Century Gothic" w:hAnsi="Century Gothic"/>
          <w:sz w:val="20"/>
        </w:rPr>
        <w:t>Kawneer</w:t>
      </w:r>
      <w:proofErr w:type="spellEnd"/>
      <w:r>
        <w:rPr>
          <w:rFonts w:ascii="Century Gothic" w:hAnsi="Century Gothic"/>
          <w:sz w:val="20"/>
        </w:rPr>
        <w:t xml:space="preserve">, </w:t>
      </w:r>
      <w:proofErr w:type="spellStart"/>
      <w:r w:rsidRPr="00251154">
        <w:rPr>
          <w:rFonts w:ascii="Century Gothic" w:hAnsi="Century Gothic"/>
          <w:sz w:val="20"/>
        </w:rPr>
        <w:t>Permasteelisa</w:t>
      </w:r>
      <w:proofErr w:type="spellEnd"/>
      <w:r>
        <w:rPr>
          <w:rFonts w:ascii="Century Gothic" w:hAnsi="Century Gothic"/>
          <w:sz w:val="20"/>
        </w:rPr>
        <w:t xml:space="preserve"> et du Conseil Régional du Nord Pas de Calais</w:t>
      </w:r>
      <w:r w:rsidRPr="00251154">
        <w:rPr>
          <w:rFonts w:ascii="Century Gothic" w:hAnsi="Century Gothic"/>
          <w:sz w:val="20"/>
        </w:rPr>
        <w:t>) vous proposent de découvrir les 30 bâtiments lauréats (1983-2013) qui vont de l’ouvrage de prestige - musée Picasso, Institut du Monde arabe, Cité de la musique - à l’équipement municipal - crèche, parking, médiathèque, école, gymnase - en passant par l’immeuble de logements.</w:t>
      </w:r>
    </w:p>
    <w:p w:rsidR="00DC547D" w:rsidRDefault="00251154" w:rsidP="00251154">
      <w:pPr>
        <w:jc w:val="both"/>
        <w:rPr>
          <w:rFonts w:ascii="Century Gothic" w:hAnsi="Century Gothic"/>
          <w:sz w:val="20"/>
        </w:rPr>
      </w:pPr>
      <w:r w:rsidRPr="00251154">
        <w:rPr>
          <w:rFonts w:ascii="Century Gothic" w:hAnsi="Century Gothic"/>
          <w:sz w:val="20"/>
        </w:rPr>
        <w:t>Revenir sur ces 30 années d’Équerre d’argent, c’est aussi voir défiler l’histoire récente de l’architecture française. Il montre que cette discipline, que l’on dit pourtant à évolution lente, sait se renouveler constamment, en relation étroite avec les mutations technologiques, sociales et culturelles.</w:t>
      </w:r>
    </w:p>
    <w:p w:rsidR="000F1357" w:rsidRPr="00DC547D" w:rsidRDefault="000F1357" w:rsidP="00251154">
      <w:pPr>
        <w:jc w:val="both"/>
        <w:rPr>
          <w:rFonts w:ascii="Century Gothic" w:hAnsi="Century Gothic"/>
          <w:sz w:val="6"/>
        </w:rPr>
      </w:pPr>
    </w:p>
    <w:p w:rsidR="00D63309" w:rsidRDefault="00D63309" w:rsidP="00D63309">
      <w:pPr>
        <w:jc w:val="center"/>
        <w:rPr>
          <w:rFonts w:ascii="Century Gothic" w:hAnsi="Century Gothic" w:cs="HelveticaNeue-Light"/>
          <w:sz w:val="30"/>
          <w:szCs w:val="30"/>
        </w:rPr>
      </w:pPr>
      <w:r w:rsidRPr="00F07DA5">
        <w:rPr>
          <w:rFonts w:ascii="HelveticaNeue-Bold" w:hAnsi="HelveticaNeue-Bold" w:cs="HelveticaNeue-Bold"/>
          <w:b/>
          <w:bCs/>
          <w:sz w:val="42"/>
          <w:szCs w:val="40"/>
        </w:rPr>
        <w:t>I N A U G U R A T I O N</w:t>
      </w:r>
      <w:r w:rsidRPr="00E65862">
        <w:rPr>
          <w:rFonts w:ascii="HelveticaNeue-Bold" w:hAnsi="HelveticaNeue-Bold" w:cs="HelveticaNeue-Bold"/>
          <w:b/>
          <w:bCs/>
          <w:sz w:val="40"/>
          <w:szCs w:val="40"/>
        </w:rPr>
        <w:br/>
      </w:r>
      <w:r w:rsidRPr="00D63309">
        <w:rPr>
          <w:rFonts w:ascii="Century Gothic" w:hAnsi="Century Gothic" w:cs="HelveticaNeue-Light"/>
          <w:sz w:val="30"/>
          <w:szCs w:val="30"/>
        </w:rPr>
        <w:t xml:space="preserve">le jeudi </w:t>
      </w:r>
      <w:r w:rsidR="00946E9C">
        <w:rPr>
          <w:rFonts w:ascii="Century Gothic" w:hAnsi="Century Gothic" w:cs="HelveticaNeue-Light"/>
          <w:sz w:val="30"/>
          <w:szCs w:val="30"/>
        </w:rPr>
        <w:t>6 novembre</w:t>
      </w:r>
      <w:r w:rsidR="005C7B04">
        <w:rPr>
          <w:rFonts w:ascii="Century Gothic" w:hAnsi="Century Gothic" w:cs="HelveticaNeue-Light"/>
          <w:sz w:val="30"/>
          <w:szCs w:val="30"/>
        </w:rPr>
        <w:t xml:space="preserve"> à 1</w:t>
      </w:r>
      <w:r w:rsidR="00946E9C">
        <w:rPr>
          <w:rFonts w:ascii="Century Gothic" w:hAnsi="Century Gothic" w:cs="HelveticaNeue-Light"/>
          <w:sz w:val="30"/>
          <w:szCs w:val="30"/>
        </w:rPr>
        <w:t>8h3</w:t>
      </w:r>
      <w:r w:rsidRPr="00D63309">
        <w:rPr>
          <w:rFonts w:ascii="Century Gothic" w:hAnsi="Century Gothic" w:cs="HelveticaNeue-Light"/>
          <w:sz w:val="30"/>
          <w:szCs w:val="30"/>
        </w:rPr>
        <w:t>0</w:t>
      </w:r>
    </w:p>
    <w:p w:rsidR="00CB0D66" w:rsidRPr="000F1357" w:rsidRDefault="00CB0D66" w:rsidP="00CB0D66">
      <w:pPr>
        <w:spacing w:after="0"/>
        <w:jc w:val="center"/>
        <w:rPr>
          <w:i/>
          <w:color w:val="000000" w:themeColor="text1"/>
          <w:sz w:val="24"/>
          <w:szCs w:val="18"/>
        </w:rPr>
      </w:pPr>
      <w:r w:rsidRPr="000F1357">
        <w:rPr>
          <w:i/>
          <w:color w:val="000000" w:themeColor="text1"/>
          <w:sz w:val="24"/>
          <w:szCs w:val="18"/>
        </w:rPr>
        <w:t xml:space="preserve">Ce vernissage sera précédé </w:t>
      </w:r>
      <w:r w:rsidR="00DC547D" w:rsidRPr="000F1357">
        <w:rPr>
          <w:i/>
          <w:color w:val="000000" w:themeColor="text1"/>
          <w:sz w:val="24"/>
          <w:szCs w:val="18"/>
        </w:rPr>
        <w:t>d’</w:t>
      </w:r>
      <w:r w:rsidR="00251154" w:rsidRPr="000F1357">
        <w:rPr>
          <w:i/>
          <w:color w:val="000000" w:themeColor="text1"/>
          <w:sz w:val="24"/>
          <w:szCs w:val="18"/>
        </w:rPr>
        <w:t xml:space="preserve">un débat </w:t>
      </w:r>
      <w:r w:rsidRPr="000F1357">
        <w:rPr>
          <w:i/>
          <w:color w:val="000000" w:themeColor="text1"/>
          <w:sz w:val="24"/>
          <w:szCs w:val="18"/>
        </w:rPr>
        <w:t>sur le thème</w:t>
      </w:r>
      <w:r w:rsidR="000F1357">
        <w:rPr>
          <w:i/>
          <w:color w:val="000000" w:themeColor="text1"/>
          <w:sz w:val="24"/>
          <w:szCs w:val="18"/>
        </w:rPr>
        <w:br/>
      </w:r>
      <w:r w:rsidRPr="000F1357">
        <w:rPr>
          <w:b/>
          <w:i/>
          <w:color w:val="000000" w:themeColor="text1"/>
          <w:sz w:val="24"/>
          <w:szCs w:val="18"/>
        </w:rPr>
        <w:t xml:space="preserve"> « </w:t>
      </w:r>
      <w:r w:rsidR="00946E9C" w:rsidRPr="000F1357">
        <w:rPr>
          <w:b/>
          <w:i/>
          <w:color w:val="000000" w:themeColor="text1"/>
          <w:sz w:val="24"/>
          <w:szCs w:val="18"/>
        </w:rPr>
        <w:t>Architecture et Culture, moteurs de développement territorial</w:t>
      </w:r>
      <w:r w:rsidRPr="000F1357">
        <w:rPr>
          <w:b/>
          <w:i/>
          <w:color w:val="000000" w:themeColor="text1"/>
          <w:sz w:val="24"/>
          <w:szCs w:val="18"/>
        </w:rPr>
        <w:t> »</w:t>
      </w:r>
    </w:p>
    <w:p w:rsidR="00CB0D66" w:rsidRPr="000F1357" w:rsidRDefault="00251154" w:rsidP="00251154">
      <w:pPr>
        <w:spacing w:after="0"/>
        <w:jc w:val="center"/>
        <w:rPr>
          <w:i/>
          <w:sz w:val="12"/>
          <w:szCs w:val="18"/>
        </w:rPr>
      </w:pPr>
      <w:proofErr w:type="gramStart"/>
      <w:r w:rsidRPr="000F1357">
        <w:rPr>
          <w:i/>
          <w:iCs/>
          <w:color w:val="000000"/>
          <w:sz w:val="18"/>
          <w:szCs w:val="18"/>
        </w:rPr>
        <w:t>animé</w:t>
      </w:r>
      <w:proofErr w:type="gramEnd"/>
      <w:r w:rsidR="0025312B" w:rsidRPr="000F1357">
        <w:rPr>
          <w:i/>
          <w:iCs/>
          <w:color w:val="000000"/>
          <w:sz w:val="18"/>
          <w:szCs w:val="18"/>
        </w:rPr>
        <w:t xml:space="preserve"> par </w:t>
      </w:r>
      <w:r w:rsidRPr="000F1357">
        <w:rPr>
          <w:i/>
          <w:iCs/>
          <w:color w:val="000000"/>
          <w:sz w:val="18"/>
          <w:szCs w:val="18"/>
        </w:rPr>
        <w:t xml:space="preserve">Dominique </w:t>
      </w:r>
      <w:proofErr w:type="spellStart"/>
      <w:r w:rsidRPr="000F1357">
        <w:rPr>
          <w:i/>
          <w:iCs/>
          <w:color w:val="000000"/>
          <w:sz w:val="18"/>
          <w:szCs w:val="18"/>
        </w:rPr>
        <w:t>Errard</w:t>
      </w:r>
      <w:proofErr w:type="spellEnd"/>
      <w:r w:rsidR="0025312B" w:rsidRPr="000F1357">
        <w:rPr>
          <w:i/>
          <w:iCs/>
          <w:color w:val="000000"/>
          <w:sz w:val="18"/>
          <w:szCs w:val="18"/>
        </w:rPr>
        <w:t xml:space="preserve">, </w:t>
      </w:r>
      <w:r w:rsidRPr="000F1357">
        <w:rPr>
          <w:i/>
          <w:iCs/>
          <w:color w:val="000000"/>
          <w:sz w:val="18"/>
          <w:szCs w:val="18"/>
        </w:rPr>
        <w:t>Rédacteur en chef Le</w:t>
      </w:r>
      <w:r w:rsidR="0025312B" w:rsidRPr="000F1357">
        <w:rPr>
          <w:i/>
          <w:iCs/>
          <w:color w:val="000000"/>
          <w:sz w:val="18"/>
          <w:szCs w:val="18"/>
        </w:rPr>
        <w:t xml:space="preserve"> Moniteur</w:t>
      </w:r>
      <w:r w:rsidRPr="000F1357">
        <w:rPr>
          <w:i/>
          <w:iCs/>
          <w:color w:val="000000"/>
          <w:sz w:val="18"/>
          <w:szCs w:val="18"/>
        </w:rPr>
        <w:t xml:space="preserve"> et Nicolas Guillon, chef de service de la rédaction Nord du Moniteur</w:t>
      </w:r>
      <w:r w:rsidR="0025312B" w:rsidRPr="000F1357">
        <w:rPr>
          <w:i/>
          <w:color w:val="000000" w:themeColor="text1"/>
          <w:sz w:val="12"/>
          <w:szCs w:val="18"/>
        </w:rPr>
        <w:br/>
      </w:r>
    </w:p>
    <w:p w:rsidR="00251154" w:rsidRPr="000F1357" w:rsidRDefault="00251154" w:rsidP="00251154">
      <w:pPr>
        <w:rPr>
          <w:rFonts w:ascii="Century Gothic" w:hAnsi="Century Gothic"/>
        </w:rPr>
      </w:pPr>
      <w:r w:rsidRPr="0025312B">
        <w:rPr>
          <w:rFonts w:ascii="Century Gothic" w:hAnsi="Century Gothic"/>
          <w:b/>
          <w:u w:val="single"/>
        </w:rPr>
        <w:t>Dates de l’exposition</w:t>
      </w:r>
      <w:r w:rsidRPr="00D63309">
        <w:rPr>
          <w:rFonts w:ascii="Century Gothic" w:hAnsi="Century Gothic"/>
        </w:rPr>
        <w:t xml:space="preserve"> : </w:t>
      </w:r>
      <w:r w:rsidRPr="00D63309">
        <w:rPr>
          <w:rFonts w:ascii="Century Gothic" w:hAnsi="Century Gothic"/>
        </w:rPr>
        <w:br/>
      </w:r>
      <w:r w:rsidR="000F1357">
        <w:rPr>
          <w:rFonts w:ascii="Century Gothic" w:hAnsi="Century Gothic"/>
        </w:rPr>
        <w:t>Conseil d’Architecture d’Urbanisme et de l’Environnement du Nord</w:t>
      </w:r>
      <w:r>
        <w:rPr>
          <w:rFonts w:ascii="Century Gothic" w:hAnsi="Century Gothic"/>
        </w:rPr>
        <w:br/>
      </w:r>
      <w:r w:rsidR="000F1357">
        <w:rPr>
          <w:rFonts w:ascii="Century Gothic" w:hAnsi="Century Gothic"/>
        </w:rPr>
        <w:t>98 rue des Stations 59000 LILLE</w:t>
      </w:r>
      <w:r w:rsidR="000F1357">
        <w:rPr>
          <w:rFonts w:ascii="Century Gothic" w:hAnsi="Century Gothic"/>
        </w:rPr>
        <w:br/>
        <w:t xml:space="preserve">4 novembre au 4 décembre </w:t>
      </w:r>
      <w:r>
        <w:rPr>
          <w:rFonts w:ascii="Century Gothic" w:hAnsi="Century Gothic"/>
        </w:rPr>
        <w:t>2014</w:t>
      </w:r>
      <w:r>
        <w:rPr>
          <w:rFonts w:ascii="Century Gothic" w:hAnsi="Century Gothic"/>
        </w:rPr>
        <w:br/>
        <w:t xml:space="preserve">Entrée libre </w:t>
      </w:r>
      <w:r>
        <w:rPr>
          <w:rFonts w:ascii="Century Gothic" w:hAnsi="Century Gothic"/>
        </w:rPr>
        <w:br/>
      </w:r>
      <w:r w:rsidRPr="00C96A69">
        <w:rPr>
          <w:rFonts w:ascii="Century Gothic" w:hAnsi="Century Gothic"/>
          <w:i/>
          <w:iCs/>
        </w:rPr>
        <w:t>http://</w:t>
      </w:r>
      <w:r w:rsidR="000F1357" w:rsidRPr="000F1357">
        <w:t xml:space="preserve"> </w:t>
      </w:r>
      <w:r w:rsidR="000F1357" w:rsidRPr="000F1357">
        <w:rPr>
          <w:rFonts w:ascii="Century Gothic" w:hAnsi="Century Gothic"/>
          <w:i/>
          <w:iCs/>
        </w:rPr>
        <w:t>www.caue-nord.com</w:t>
      </w:r>
    </w:p>
    <w:p w:rsidR="00DE1674" w:rsidRPr="00DE1674" w:rsidRDefault="00DE1674" w:rsidP="00251154">
      <w:pPr>
        <w:rPr>
          <w:color w:val="000000"/>
          <w:sz w:val="18"/>
          <w:szCs w:val="18"/>
        </w:rPr>
      </w:pPr>
      <w:r w:rsidRPr="00DE1674">
        <w:rPr>
          <w:i/>
          <w:iCs/>
          <w:color w:val="000000"/>
          <w:sz w:val="18"/>
          <w:szCs w:val="18"/>
        </w:rPr>
        <w:t>.</w:t>
      </w:r>
    </w:p>
    <w:p w:rsidR="00C46966" w:rsidRDefault="00C46966" w:rsidP="00DE1674">
      <w:pPr>
        <w:rPr>
          <w:rFonts w:ascii="Century Gothic" w:hAnsi="Century Gothic"/>
          <w:b/>
          <w:sz w:val="18"/>
          <w:szCs w:val="18"/>
        </w:rPr>
      </w:pPr>
    </w:p>
    <w:p w:rsidR="00C46966" w:rsidRPr="00394349" w:rsidRDefault="00C46966" w:rsidP="00C46966">
      <w:pPr>
        <w:spacing w:after="0"/>
        <w:rPr>
          <w:b/>
        </w:rPr>
      </w:pPr>
      <w:r>
        <w:rPr>
          <w:b/>
        </w:rPr>
        <w:t>Organisé par 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Pr="00394349">
        <w:rPr>
          <w:b/>
        </w:rPr>
        <w:t xml:space="preserve">Partenaires officiels : </w:t>
      </w:r>
    </w:p>
    <w:p w:rsidR="00E65862" w:rsidRPr="000F1357" w:rsidRDefault="00C46966" w:rsidP="00D63309">
      <w:r>
        <w:rPr>
          <w:noProof/>
          <w:lang w:eastAsia="fr-FR"/>
        </w:rPr>
        <w:drawing>
          <wp:inline distT="0" distB="0" distL="0" distR="0">
            <wp:extent cx="1187450" cy="245745"/>
            <wp:effectExtent l="0" t="0" r="0" b="1905"/>
            <wp:docPr id="10" name="Image 10" descr="Logo Le Moniteur sans base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Le Moniteur sans base 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24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fr-FR"/>
        </w:rPr>
        <w:drawing>
          <wp:inline distT="0" distB="0" distL="0" distR="0" wp14:anchorId="3753F5F0" wp14:editId="2B0ED480">
            <wp:extent cx="619125" cy="206375"/>
            <wp:effectExtent l="0" t="0" r="9525" b="3175"/>
            <wp:docPr id="1" name="Image 1" descr="\\saphir\Base Logotypes Groupe\AMC\Format JPEG\AMC_No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aphir\Base Logotypes Groupe\AMC\Format JPEG\AMC_Noi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0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1357">
        <w:t xml:space="preserve">           </w:t>
      </w:r>
      <w:r w:rsidR="000F1357">
        <w:tab/>
      </w:r>
      <w:r>
        <w:t xml:space="preserve"> </w:t>
      </w:r>
      <w:r w:rsidRPr="003943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  <w:lang w:eastAsia="fr-FR"/>
        </w:rPr>
        <w:drawing>
          <wp:inline distT="0" distB="0" distL="0" distR="0" wp14:anchorId="72FB03F2" wp14:editId="22D345C4">
            <wp:extent cx="1000932" cy="295275"/>
            <wp:effectExtent l="0" t="0" r="8890" b="0"/>
            <wp:docPr id="7" name="Image 7" descr="http://t3.gstatic.com/images?q=tbn:ANd9GcQ1D7WLcJTJwqd3mHDwDYph-n7vTqp1tIH2728u5PljRhmXAsonmfJkE9eV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3.gstatic.com/images?q=tbn:ANd9GcQ1D7WLcJTJwqd3mHDwDYph-n7vTqp1tIH2728u5PljRhmXAsonmfJkE9eVGA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73" t="29655" r="22190" b="29655"/>
                    <a:stretch/>
                  </pic:blipFill>
                  <pic:spPr bwMode="auto">
                    <a:xfrm>
                      <a:off x="0" y="0"/>
                      <a:ext cx="1000932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 </w:t>
      </w:r>
      <w:r>
        <w:rPr>
          <w:noProof/>
          <w:lang w:eastAsia="fr-FR"/>
        </w:rPr>
        <w:drawing>
          <wp:inline distT="0" distB="0" distL="0" distR="0" wp14:anchorId="1E282495" wp14:editId="05101A56">
            <wp:extent cx="1495425" cy="330344"/>
            <wp:effectExtent l="0" t="0" r="0" b="0"/>
            <wp:docPr id="8" name="Image 8" descr="C:\Users\Mjorgen\Desktop\P.isa France&amp;Gro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jorgen\Desktop\P.isa France&amp;Group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277" cy="331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    </w:t>
      </w:r>
      <w:r w:rsidR="000F1357">
        <w:rPr>
          <w:noProof/>
          <w:lang w:eastAsia="fr-FR"/>
        </w:rPr>
        <w:drawing>
          <wp:inline distT="0" distB="0" distL="0" distR="0">
            <wp:extent cx="1140701" cy="325316"/>
            <wp:effectExtent l="0" t="0" r="2540" b="0"/>
            <wp:docPr id="12" name="Image 12" descr="C:\Users\mjorgen\AppData\Local\Microsoft\Windows\Temporary Internet Files\Content.Word\Logo_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jorgen\AppData\Local\Microsoft\Windows\Temporary Internet Files\Content.Word\Logo_20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808" cy="325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5862" w:rsidRPr="000F1357" w:rsidSect="00F07DA5">
      <w:pgSz w:w="11906" w:h="16838"/>
      <w:pgMar w:top="709" w:right="1080" w:bottom="851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Neue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1E7"/>
    <w:rsid w:val="000F1357"/>
    <w:rsid w:val="00251154"/>
    <w:rsid w:val="0025312B"/>
    <w:rsid w:val="00394349"/>
    <w:rsid w:val="00543591"/>
    <w:rsid w:val="0058488F"/>
    <w:rsid w:val="005C7B04"/>
    <w:rsid w:val="005E4F84"/>
    <w:rsid w:val="0081131B"/>
    <w:rsid w:val="00946E9C"/>
    <w:rsid w:val="00A1377B"/>
    <w:rsid w:val="00B37A69"/>
    <w:rsid w:val="00BB31E7"/>
    <w:rsid w:val="00C46966"/>
    <w:rsid w:val="00C74D5F"/>
    <w:rsid w:val="00C91A6D"/>
    <w:rsid w:val="00C96A69"/>
    <w:rsid w:val="00CB0D66"/>
    <w:rsid w:val="00D63309"/>
    <w:rsid w:val="00D775A3"/>
    <w:rsid w:val="00DC547D"/>
    <w:rsid w:val="00DE1674"/>
    <w:rsid w:val="00E65862"/>
    <w:rsid w:val="00F07DA5"/>
    <w:rsid w:val="00F6670F"/>
    <w:rsid w:val="00FA32CE"/>
    <w:rsid w:val="00FF4087"/>
    <w:rsid w:val="00FF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B3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31E7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394349"/>
    <w:rPr>
      <w:color w:val="0000FF" w:themeColor="hyperlink"/>
      <w:u w:val="single"/>
    </w:rPr>
  </w:style>
  <w:style w:type="paragraph" w:styleId="Textebrut">
    <w:name w:val="Plain Text"/>
    <w:basedOn w:val="Normal"/>
    <w:link w:val="TextebrutCar"/>
    <w:uiPriority w:val="99"/>
    <w:semiHidden/>
    <w:unhideWhenUsed/>
    <w:rsid w:val="00D63309"/>
    <w:pPr>
      <w:spacing w:after="0" w:line="240" w:lineRule="auto"/>
    </w:pPr>
    <w:rPr>
      <w:rFonts w:ascii="Calibri" w:hAnsi="Calibri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D63309"/>
    <w:rPr>
      <w:rFonts w:ascii="Calibri" w:hAnsi="Calibri"/>
      <w:szCs w:val="21"/>
    </w:rPr>
  </w:style>
  <w:style w:type="character" w:styleId="CitationHTML">
    <w:name w:val="HTML Cite"/>
    <w:basedOn w:val="Policepardfaut"/>
    <w:uiPriority w:val="99"/>
    <w:semiHidden/>
    <w:unhideWhenUsed/>
    <w:rsid w:val="00D6330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B3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31E7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394349"/>
    <w:rPr>
      <w:color w:val="0000FF" w:themeColor="hyperlink"/>
      <w:u w:val="single"/>
    </w:rPr>
  </w:style>
  <w:style w:type="paragraph" w:styleId="Textebrut">
    <w:name w:val="Plain Text"/>
    <w:basedOn w:val="Normal"/>
    <w:link w:val="TextebrutCar"/>
    <w:uiPriority w:val="99"/>
    <w:semiHidden/>
    <w:unhideWhenUsed/>
    <w:rsid w:val="00D63309"/>
    <w:pPr>
      <w:spacing w:after="0" w:line="240" w:lineRule="auto"/>
    </w:pPr>
    <w:rPr>
      <w:rFonts w:ascii="Calibri" w:hAnsi="Calibri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D63309"/>
    <w:rPr>
      <w:rFonts w:ascii="Calibri" w:hAnsi="Calibri"/>
      <w:szCs w:val="21"/>
    </w:rPr>
  </w:style>
  <w:style w:type="character" w:styleId="CitationHTML">
    <w:name w:val="HTML Cite"/>
    <w:basedOn w:val="Policepardfaut"/>
    <w:uiPriority w:val="99"/>
    <w:semiHidden/>
    <w:unhideWhenUsed/>
    <w:rsid w:val="00D633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Moniteur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JORGENSEN, Magali (GRM-UZS)</dc:creator>
  <cp:lastModifiedBy>Mast64office32</cp:lastModifiedBy>
  <cp:revision>3</cp:revision>
  <cp:lastPrinted>2014-03-14T10:44:00Z</cp:lastPrinted>
  <dcterms:created xsi:type="dcterms:W3CDTF">2014-10-08T15:47:00Z</dcterms:created>
  <dcterms:modified xsi:type="dcterms:W3CDTF">2014-10-08T15:56:00Z</dcterms:modified>
</cp:coreProperties>
</file>